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Aprilie 27, 2026 - Aprilie 30,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81sav0azwqvjqegas6gq5">
        <w:r>
          <w:rPr>
            <w:rStyle w:val="Hyperlink"/>
            <w:sz w:val="20"/>
            <w:szCs w:val="20"/>
          </w:rPr>
          <w:t xml:space="preserve">www.reteleelectrice.ro</w:t>
        </w:r>
      </w:hyperlink>
      <w:r>
        <w:rPr>
          <w:sz w:val="20"/>
          <w:szCs w:val="20"/>
        </w:rPr>
        <w:t xml:space="preserve"> și poate fi consultată în secțiunea </w:t>
      </w:r>
      <w:hyperlink w:history="1" r:id="rIdtl-catrjfe3ocs6hn6uwx">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Bulevardul Ghencea, Alte detalii: Cu laterale: Ion Nonna Otescu, Intrarea General Grigore Ipătescu, Nr 8, Alte detalii: Perimetrul Calea Mosilor ,Strazile General Grigore Ipatescu ,Olari ,Zece Mese ,Dimitrie Onciul</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Paul Greceanu, Nr 10, Alte detalii: Paul Greceanu nr cu sot in sectiunea cuprinsa intre str Polona si str. Aurel Vlaicu</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Răcari, Alte detalii: Perimetrul cuprins intre Calea Vitan,sos Mihai Bravu , str Racari, str Calusarilor</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12:00 - 16:00</w:t>
            </w:r>
          </w:p>
        </w:tc>
        <w:tc>
          <w:tcPr>
            <w:tcW w:type="pct" w:w="20%"/>
          </w:tcPr>
          <w:p>
            <w:pPr>
              <w:spacing w:before="100" w:after="100"/>
            </w:pPr>
            <w:r>
              <w:rPr>
                <w:sz w:val="20"/>
                <w:szCs w:val="20"/>
              </w:rPr>
              <w:t xml:space="preserve">Vlașin</w:t>
            </w:r>
          </w:p>
        </w:tc>
        <w:tc>
          <w:tcPr>
            <w:tcW w:type="pct" w:w="40%"/>
          </w:tcPr>
          <w:p>
            <w:pPr>
              <w:spacing w:before="100" w:after="100"/>
            </w:pPr>
            <w:r>
              <w:rPr>
                <w:sz w:val="20"/>
                <w:szCs w:val="20"/>
              </w:rPr>
              <w:t xml:space="preserve">Nr Str Albinei , Str Fantani , Str Salciei , Str Padurii , Str Campului ,Str Morii ,Str Sos Giurgiului</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Mironeşti</w:t>
            </w:r>
          </w:p>
        </w:tc>
        <w:tc>
          <w:tcPr>
            <w:tcW w:type="pct" w:w="40%"/>
          </w:tcPr>
          <w:p>
            <w:pPr>
              <w:spacing w:before="100" w:after="100"/>
            </w:pPr>
            <w:r>
              <w:rPr>
                <w:sz w:val="20"/>
                <w:szCs w:val="20"/>
              </w:rPr>
              <w:t xml:space="preserve">Alte detalii: Toata localitatea</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Hotarele</w:t>
            </w:r>
          </w:p>
        </w:tc>
        <w:tc>
          <w:tcPr>
            <w:tcW w:type="pct" w:w="40%"/>
          </w:tcPr>
          <w:p>
            <w:pPr>
              <w:spacing w:before="100" w:after="100"/>
            </w:pPr>
            <w:r>
              <w:rPr>
                <w:sz w:val="20"/>
                <w:szCs w:val="20"/>
              </w:rPr>
              <w:t xml:space="preserve">Str. Biserica, Strada Muntenia, Str. Gorunului, Str. Paltinului, Str. Frasinului, Str. Corcodușului, Str. Părului, Str. Bujorului, Strada Vladului</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Teiuşu</w:t>
            </w:r>
          </w:p>
        </w:tc>
        <w:tc>
          <w:tcPr>
            <w:tcW w:type="pct" w:w="40%"/>
          </w:tcPr>
          <w:p>
            <w:pPr>
              <w:spacing w:before="100" w:after="100"/>
            </w:pPr>
            <w:r>
              <w:rPr>
                <w:sz w:val="20"/>
                <w:szCs w:val="20"/>
              </w:rPr>
              <w:t xml:space="preserve">Alte detalii: Toata localitatea</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DJ601E, Nr Strada catre Poenari, DJ601E, Nr Republicii de la Sabar catre Bolintin Deal, Agenti economici: Spalatoria auto,Benzinaria</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Vidra</w:t>
            </w:r>
          </w:p>
        </w:tc>
        <w:tc>
          <w:tcPr>
            <w:tcW w:type="pct" w:w="40%"/>
          </w:tcPr>
          <w:p>
            <w:pPr>
              <w:spacing w:before="100" w:after="100"/>
            </w:pPr>
            <w:r>
              <w:rPr>
                <w:sz w:val="20"/>
                <w:szCs w:val="20"/>
              </w:rPr>
              <w:t xml:space="preserve">Strada Calea București, Alte detalii: Calea Bucuresti cu  strazi laterale</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Izvorani</w:t>
            </w:r>
          </w:p>
        </w:tc>
        <w:tc>
          <w:tcPr>
            <w:tcW w:type="pct" w:w="40%"/>
          </w:tcPr>
          <w:p>
            <w:pPr>
              <w:spacing w:before="100" w:after="100"/>
            </w:pPr>
            <w:r>
              <w:rPr>
                <w:sz w:val="20"/>
                <w:szCs w:val="20"/>
              </w:rPr>
              <w:t xml:space="preserve">Agenti economici: Vila IDEB, UCFS Baza Noua, Casa Vicol | Alte detalii: Vila IDEB, UCFS Baza Noua, Casa Vicol si strazi adiacente</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Drumul Ciorogârla, Nr FN, Alte detalii: Drumul Rotii,Blocuri Envogue</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Crișul Repede, Nr fn, Alte detalii: Ostasului,str. adiacente</w:t>
            </w:r>
          </w:p>
        </w:tc>
      </w:tr>
      <w:tr>
        <w:tc>
          <w:tcPr>
            <w:tcW w:type="pct" w:w="20%"/>
          </w:tcPr>
          <w:p>
            <w:pPr>
              <w:spacing w:before="100" w:after="100"/>
            </w:pPr>
            <w:r>
              <w:rPr>
                <w:sz w:val="20"/>
                <w:szCs w:val="20"/>
              </w:rPr>
              <w:t xml:space="preserve">Luni, 27.04.2026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Intrarea Pescărușului, Nr fn, Alte detalii: Floare de colt,Tudor Vladimirescu,Cartier Nou,str.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Ciutaci, Nr fn, Alte detalii: Foisorului,Valea Prahovei,str.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Alte detalii: str Panselelor, Intrarea Salcamilor, Intrarea Panselutelor, Ciresului si strazi adiacente, , Alte detalii: str Florilor, Aleea Petuniilor, Garofitelor, Intrarea Randunica, Intrarea Branduselor, Merilor, Intrarea Fagului, Narciselor si strazi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Mărăcineni, Nr 48, Alte detalii: Strazi adiacente</w:t>
            </w:r>
          </w:p>
        </w:tc>
      </w:tr>
      <w:tr>
        <w:tc>
          <w:tcPr>
            <w:tcW w:type="pct" w:w="20%"/>
          </w:tcPr>
          <w:p>
            <w:pPr>
              <w:spacing w:before="100" w:after="100"/>
            </w:pPr>
            <w:r>
              <w:rPr>
                <w:sz w:val="20"/>
                <w:szCs w:val="20"/>
              </w:rPr>
              <w:t xml:space="preserve">Marți, 28.04.2026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Calea București, Nr fn, Alte detalii: Ana Ipatescu,Linia Mica,str. adiacente</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Vanatori Acasa SRL | Alte detalii: Vanatori Acasa SRL</w:t>
            </w:r>
          </w:p>
        </w:tc>
      </w:tr>
      <w:tr>
        <w:tc>
          <w:tcPr>
            <w:tcW w:type="pct" w:w="20%"/>
          </w:tcPr>
          <w:p>
            <w:pPr>
              <w:spacing w:before="100" w:after="100"/>
            </w:pPr>
            <w:r>
              <w:rPr>
                <w:sz w:val="20"/>
                <w:szCs w:val="20"/>
              </w:rPr>
              <w:t xml:space="preserve">Miercuri, 29.04.2026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Strada Erou Iancu Nicolae, Nr 150-154</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Voluntari</w:t>
            </w:r>
          </w:p>
        </w:tc>
        <w:tc>
          <w:tcPr>
            <w:tcW w:type="pct" w:w="40%"/>
          </w:tcPr>
          <w:p>
            <w:pPr>
              <w:spacing w:before="100" w:after="100"/>
            </w:pPr>
            <w:r>
              <w:rPr>
                <w:sz w:val="20"/>
                <w:szCs w:val="20"/>
              </w:rPr>
              <w:t xml:space="preserve">Bulevardul Pipera, Nr nr 4-8</w:t>
            </w:r>
          </w:p>
        </w:tc>
      </w:tr>
      <w:tr>
        <w:tc>
          <w:tcPr>
            <w:tcW w:type="pct" w:w="20%"/>
          </w:tcPr>
          <w:p>
            <w:pPr>
              <w:spacing w:before="100" w:after="100"/>
            </w:pPr>
            <w:r>
              <w:rPr>
                <w:sz w:val="20"/>
                <w:szCs w:val="20"/>
              </w:rPr>
              <w:t xml:space="preserve">Joi, 30.04.2026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Agenti economici: Vila Herscovici | Alte detalii: str Bradului, Nucului, Snagov, Gladiolelor, Castanului, Gorunului, Alunului, Pinului, Stejarului, Salciei, Mesteacanului si strazi adiacente, , Agenti economici: Statia de Apa str Molidului Snagov | Alte detalii: str Molidului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81sav0azwqvjqegas6gq5" Type="http://schemas.openxmlformats.org/officeDocument/2006/relationships/hyperlink" Target="https://www.reteleelectrice.ro" TargetMode="External"/><Relationship Id="rIdtl-catrjfe3ocs6hn6uwx"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2026-04-24T11:54:04.185Z</dcterms:created>
  <dcterms:modified xsi:type="dcterms:W3CDTF">2026-04-24T11:54:04.185Z</dcterms:modified>
</cp:coreProperties>
</file>

<file path=docProps/custom.xml><?xml version="1.0" encoding="utf-8"?>
<Properties xmlns="http://schemas.openxmlformats.org/officeDocument/2006/custom-properties" xmlns:vt="http://schemas.openxmlformats.org/officeDocument/2006/docPropsVTypes"/>
</file>